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9"/>
        <w:gridCol w:w="109"/>
        <w:gridCol w:w="7568"/>
      </w:tblGrid>
      <w:tr w:rsidR="008E3688" w:rsidRPr="008E3688" w:rsidTr="00715606">
        <w:trPr>
          <w:trHeight w:val="20"/>
          <w:jc w:val="center"/>
        </w:trPr>
        <w:tc>
          <w:tcPr>
            <w:tcW w:w="1496" w:type="dxa"/>
            <w:gridSpan w:val="2"/>
            <w:tcBorders>
              <w:bottom w:val="nil"/>
              <w:right w:val="nil"/>
            </w:tcBorders>
            <w:vAlign w:val="center"/>
          </w:tcPr>
          <w:p w:rsidR="008E3688" w:rsidRPr="008E3688" w:rsidRDefault="008E3688" w:rsidP="008E3688">
            <w:pPr>
              <w:widowControl w:val="0"/>
              <w:bidi/>
              <w:spacing w:after="0" w:line="240" w:lineRule="auto"/>
              <w:rPr>
                <w:rFonts w:ascii="Nazanin,Bold" w:eastAsia="Calibri" w:hAnsi="Nazanin,Bold" w:cs="B Nazanin"/>
                <w:color w:val="000000"/>
                <w:sz w:val="20"/>
                <w:szCs w:val="20"/>
                <w:rtl/>
                <w:lang w:bidi="fa-IR"/>
              </w:rPr>
            </w:pPr>
            <w:r w:rsidRPr="008E3688">
              <w:rPr>
                <w:rFonts w:ascii="Times New Roman" w:eastAsia="Calibri" w:hAnsi="Times New Roman" w:cs="B Nazanin"/>
                <w:color w:val="000000"/>
                <w:sz w:val="20"/>
                <w:szCs w:val="20"/>
                <w:rtl/>
                <w:lang w:bidi="fa-IR"/>
              </w:rPr>
              <w:br w:type="page"/>
            </w:r>
            <w:r w:rsidRPr="008E3688">
              <w:rPr>
                <w:rFonts w:ascii="Nazanin,Bold" w:eastAsia="Calibri" w:hAnsi="Nazanin,Bold" w:cs="B Nazanin"/>
                <w:color w:val="000000"/>
                <w:sz w:val="20"/>
                <w:szCs w:val="20"/>
                <w:rtl/>
              </w:rPr>
              <w:t>عنوان</w:t>
            </w:r>
            <w:r w:rsidRPr="008E3688">
              <w:rPr>
                <w:rFonts w:ascii="Nazanin,Bold" w:eastAsia="Calibri" w:hAnsi="Nazanin,Bold" w:cs="B Nazanin" w:hint="cs"/>
                <w:color w:val="000000"/>
                <w:sz w:val="20"/>
                <w:szCs w:val="20"/>
                <w:rtl/>
              </w:rPr>
              <w:t xml:space="preserve"> و</w:t>
            </w:r>
            <w:r w:rsidRPr="008E3688">
              <w:rPr>
                <w:rFonts w:ascii="Nazanin,Bold" w:eastAsia="Calibri" w:hAnsi="Nazanin,Bold" w:cs="B Nazanin" w:hint="cs"/>
                <w:color w:val="000000"/>
                <w:sz w:val="20"/>
                <w:szCs w:val="20"/>
                <w:rtl/>
                <w:lang w:bidi="fa-IR"/>
              </w:rPr>
              <w:t xml:space="preserve"> نام پدیدآور:</w:t>
            </w:r>
          </w:p>
        </w:tc>
        <w:tc>
          <w:tcPr>
            <w:tcW w:w="5637" w:type="dxa"/>
            <w:tcBorders>
              <w:left w:val="nil"/>
              <w:bottom w:val="nil"/>
            </w:tcBorders>
            <w:vAlign w:val="center"/>
          </w:tcPr>
          <w:p w:rsidR="008E3688" w:rsidRPr="008E3688" w:rsidRDefault="008E3688" w:rsidP="008E3688">
            <w:pPr>
              <w:widowControl w:val="0"/>
              <w:bidi/>
              <w:spacing w:after="0" w:line="240" w:lineRule="auto"/>
              <w:jc w:val="both"/>
              <w:rPr>
                <w:rFonts w:ascii="Times New Roman" w:eastAsia="Calibri" w:hAnsi="Times New Roman" w:cs="B Nazanin"/>
                <w:color w:val="000000"/>
                <w:sz w:val="18"/>
                <w:szCs w:val="18"/>
                <w:rtl/>
                <w:lang w:bidi="fa-IR"/>
              </w:rPr>
            </w:pPr>
            <w:r w:rsidRPr="008E3688">
              <w:rPr>
                <w:rFonts w:ascii="Times New Roman" w:eastAsia="Calibri" w:hAnsi="Times New Roman" w:cs="B Nazanin" w:hint="cs"/>
                <w:b/>
                <w:bCs/>
                <w:color w:val="000000"/>
                <w:sz w:val="18"/>
                <w:szCs w:val="18"/>
                <w:rtl/>
                <w:lang w:bidi="fa-IR"/>
              </w:rPr>
              <w:t>مقایسه</w:t>
            </w:r>
            <w:r w:rsidRPr="008E3688">
              <w:rPr>
                <w:rFonts w:ascii="Times New Roman" w:eastAsia="Calibri" w:hAnsi="Times New Roman" w:cs="B Nazanin"/>
                <w:b/>
                <w:bCs/>
                <w:color w:val="000000"/>
                <w:sz w:val="18"/>
                <w:szCs w:val="18"/>
                <w:rtl/>
                <w:lang w:bidi="fa-IR"/>
              </w:rPr>
              <w:softHyphen/>
            </w:r>
            <w:r w:rsidRPr="008E3688">
              <w:rPr>
                <w:rFonts w:ascii="Times New Roman" w:eastAsia="Calibri" w:hAnsi="Times New Roman" w:cs="B Nazanin" w:hint="cs"/>
                <w:b/>
                <w:bCs/>
                <w:color w:val="000000"/>
                <w:sz w:val="18"/>
                <w:szCs w:val="18"/>
                <w:rtl/>
                <w:lang w:bidi="fa-IR"/>
              </w:rPr>
              <w:t>ی الگوهای ارتباطی زوجین، عملکرد خانواده و سازگاری زناشویی درزنان نابارور و بارور/ نرجس زارع</w:t>
            </w:r>
          </w:p>
        </w:tc>
      </w:tr>
      <w:tr w:rsidR="008E3688" w:rsidRPr="008E3688" w:rsidTr="00715606">
        <w:trPr>
          <w:trHeight w:val="20"/>
          <w:jc w:val="center"/>
        </w:trPr>
        <w:tc>
          <w:tcPr>
            <w:tcW w:w="1415" w:type="dxa"/>
            <w:tcBorders>
              <w:top w:val="nil"/>
              <w:bottom w:val="nil"/>
              <w:right w:val="nil"/>
            </w:tcBorders>
            <w:vAlign w:val="center"/>
          </w:tcPr>
          <w:p w:rsidR="008E3688" w:rsidRPr="008E3688" w:rsidRDefault="008E3688" w:rsidP="008E3688">
            <w:pPr>
              <w:widowControl w:val="0"/>
              <w:bidi/>
              <w:spacing w:after="0" w:line="240" w:lineRule="auto"/>
              <w:rPr>
                <w:rFonts w:ascii="Nazanin,Bold" w:eastAsia="Calibri" w:hAnsi="Nazanin,Bold" w:cs="B Nazanin"/>
                <w:color w:val="000000"/>
                <w:sz w:val="20"/>
                <w:szCs w:val="20"/>
                <w:rtl/>
              </w:rPr>
            </w:pPr>
            <w:r w:rsidRPr="008E3688">
              <w:rPr>
                <w:rFonts w:ascii="Nazanin,Bold" w:eastAsia="Calibri" w:hAnsi="Nazanin,Bold" w:cs="B Nazanin" w:hint="cs"/>
                <w:color w:val="000000"/>
                <w:sz w:val="20"/>
                <w:szCs w:val="20"/>
                <w:rtl/>
              </w:rPr>
              <w:t xml:space="preserve"> </w:t>
            </w:r>
            <w:r w:rsidRPr="008E3688">
              <w:rPr>
                <w:rFonts w:ascii="Nazanin,Bold" w:eastAsia="Calibri" w:hAnsi="Nazanin,Bold" w:cs="B Nazanin"/>
                <w:color w:val="000000"/>
                <w:sz w:val="20"/>
                <w:szCs w:val="20"/>
                <w:rtl/>
              </w:rPr>
              <w:t>استاد</w:t>
            </w:r>
            <w:r w:rsidRPr="008E3688">
              <w:rPr>
                <w:rFonts w:ascii="Nazanin,Bold" w:eastAsia="Calibri" w:hAnsi="Nazanin,Bold" w:cs="B Nazanin" w:hint="cs"/>
                <w:color w:val="000000"/>
                <w:sz w:val="20"/>
                <w:szCs w:val="20"/>
                <w:rtl/>
              </w:rPr>
              <w:t xml:space="preserve"> </w:t>
            </w:r>
            <w:r w:rsidRPr="008E3688">
              <w:rPr>
                <w:rFonts w:ascii="Nazanin,Bold" w:eastAsia="Calibri" w:hAnsi="Nazanin,Bold" w:cs="B Nazanin"/>
                <w:color w:val="000000"/>
                <w:sz w:val="20"/>
                <w:szCs w:val="20"/>
                <w:rtl/>
              </w:rPr>
              <w:t>راهنما</w:t>
            </w:r>
            <w:r w:rsidRPr="008E3688">
              <w:rPr>
                <w:rFonts w:ascii="Nazanin,Bold" w:eastAsia="Calibri" w:hAnsi="Nazanin,Bold" w:cs="B Nazanin" w:hint="cs"/>
                <w:color w:val="000000"/>
                <w:sz w:val="20"/>
                <w:szCs w:val="20"/>
                <w:rtl/>
              </w:rPr>
              <w:t xml:space="preserve">: </w:t>
            </w:r>
          </w:p>
        </w:tc>
        <w:tc>
          <w:tcPr>
            <w:tcW w:w="5718" w:type="dxa"/>
            <w:gridSpan w:val="2"/>
            <w:tcBorders>
              <w:top w:val="nil"/>
              <w:left w:val="nil"/>
              <w:bottom w:val="nil"/>
            </w:tcBorders>
            <w:vAlign w:val="center"/>
          </w:tcPr>
          <w:p w:rsidR="008E3688" w:rsidRPr="008E3688" w:rsidRDefault="008E3688" w:rsidP="008E3688">
            <w:pPr>
              <w:widowControl w:val="0"/>
              <w:bidi/>
              <w:spacing w:after="0" w:line="240" w:lineRule="auto"/>
              <w:jc w:val="both"/>
              <w:rPr>
                <w:rFonts w:ascii="Nazanin,Bold" w:eastAsia="Calibri" w:hAnsi="Nazanin,Bold" w:cs="B Nazanin"/>
                <w:color w:val="000000"/>
                <w:sz w:val="18"/>
                <w:szCs w:val="18"/>
                <w:rtl/>
              </w:rPr>
            </w:pPr>
            <w:r w:rsidRPr="008E3688">
              <w:rPr>
                <w:rFonts w:ascii="Nazanin,Bold" w:eastAsia="Calibri" w:hAnsi="Nazanin,Bold" w:cs="B Nazanin" w:hint="cs"/>
                <w:color w:val="000000"/>
                <w:sz w:val="18"/>
                <w:szCs w:val="18"/>
                <w:rtl/>
              </w:rPr>
              <w:t>دکتر علی شیخ الاسلامی</w:t>
            </w:r>
          </w:p>
        </w:tc>
      </w:tr>
      <w:tr w:rsidR="008E3688" w:rsidRPr="008E3688" w:rsidTr="00715606">
        <w:trPr>
          <w:trHeight w:val="20"/>
          <w:jc w:val="center"/>
        </w:trPr>
        <w:tc>
          <w:tcPr>
            <w:tcW w:w="1415" w:type="dxa"/>
            <w:tcBorders>
              <w:top w:val="nil"/>
              <w:bottom w:val="nil"/>
              <w:right w:val="nil"/>
            </w:tcBorders>
            <w:vAlign w:val="center"/>
          </w:tcPr>
          <w:p w:rsidR="008E3688" w:rsidRPr="008E3688" w:rsidRDefault="008E3688" w:rsidP="008E3688">
            <w:pPr>
              <w:widowControl w:val="0"/>
              <w:bidi/>
              <w:spacing w:after="0" w:line="240" w:lineRule="auto"/>
              <w:rPr>
                <w:rFonts w:ascii="Nazanin,Bold" w:eastAsia="Calibri" w:hAnsi="Nazanin,Bold" w:cs="B Nazanin"/>
                <w:color w:val="000000"/>
                <w:sz w:val="20"/>
                <w:szCs w:val="20"/>
                <w:rtl/>
              </w:rPr>
            </w:pPr>
            <w:r w:rsidRPr="008E3688">
              <w:rPr>
                <w:rFonts w:ascii="Nazanin,Bold" w:eastAsia="Calibri" w:hAnsi="Nazanin,Bold" w:cs="B Nazanin"/>
                <w:color w:val="000000"/>
                <w:sz w:val="20"/>
                <w:szCs w:val="20"/>
                <w:rtl/>
              </w:rPr>
              <w:t>استاد</w:t>
            </w:r>
            <w:r w:rsidRPr="008E3688">
              <w:rPr>
                <w:rFonts w:ascii="Nazanin,Bold" w:eastAsia="Calibri" w:hAnsi="Nazanin,Bold" w:cs="B Nazanin" w:hint="cs"/>
                <w:color w:val="000000"/>
                <w:sz w:val="20"/>
                <w:szCs w:val="20"/>
                <w:rtl/>
              </w:rPr>
              <w:t xml:space="preserve"> مشاور:</w:t>
            </w:r>
          </w:p>
        </w:tc>
        <w:tc>
          <w:tcPr>
            <w:tcW w:w="5718" w:type="dxa"/>
            <w:gridSpan w:val="2"/>
            <w:tcBorders>
              <w:top w:val="nil"/>
              <w:left w:val="nil"/>
              <w:bottom w:val="nil"/>
            </w:tcBorders>
            <w:vAlign w:val="center"/>
          </w:tcPr>
          <w:p w:rsidR="008E3688" w:rsidRPr="008E3688" w:rsidRDefault="008E3688" w:rsidP="008E3688">
            <w:pPr>
              <w:widowControl w:val="0"/>
              <w:bidi/>
              <w:spacing w:after="0" w:line="240" w:lineRule="auto"/>
              <w:jc w:val="both"/>
              <w:rPr>
                <w:rFonts w:ascii="Nazanin,Bold" w:eastAsia="Calibri" w:hAnsi="Nazanin,Bold" w:cs="B Nazanin"/>
                <w:color w:val="000000"/>
                <w:sz w:val="18"/>
                <w:szCs w:val="18"/>
                <w:rtl/>
              </w:rPr>
            </w:pPr>
            <w:r w:rsidRPr="008E3688">
              <w:rPr>
                <w:rFonts w:ascii="Nazanin,Bold" w:eastAsia="Calibri" w:hAnsi="Nazanin,Bold" w:cs="B Nazanin" w:hint="cs"/>
                <w:color w:val="000000"/>
                <w:sz w:val="18"/>
                <w:szCs w:val="18"/>
                <w:rtl/>
              </w:rPr>
              <w:t>دکتر احمدرضا کیانی</w:t>
            </w:r>
          </w:p>
        </w:tc>
      </w:tr>
      <w:tr w:rsidR="008E3688" w:rsidRPr="008E3688" w:rsidTr="00715606">
        <w:trPr>
          <w:trHeight w:val="20"/>
          <w:jc w:val="center"/>
        </w:trPr>
        <w:tc>
          <w:tcPr>
            <w:tcW w:w="1415" w:type="dxa"/>
            <w:tcBorders>
              <w:top w:val="nil"/>
              <w:bottom w:val="nil"/>
              <w:right w:val="nil"/>
            </w:tcBorders>
            <w:vAlign w:val="center"/>
          </w:tcPr>
          <w:p w:rsidR="008E3688" w:rsidRPr="008E3688" w:rsidRDefault="008E3688" w:rsidP="008E3688">
            <w:pPr>
              <w:widowControl w:val="0"/>
              <w:bidi/>
              <w:spacing w:after="0" w:line="240" w:lineRule="auto"/>
              <w:rPr>
                <w:rFonts w:ascii="Nazanin,Bold" w:eastAsia="Calibri" w:hAnsi="Nazanin,Bold" w:cs="B Nazanin"/>
                <w:color w:val="000000"/>
                <w:sz w:val="20"/>
                <w:szCs w:val="20"/>
                <w:rtl/>
              </w:rPr>
            </w:pPr>
            <w:r w:rsidRPr="008E3688">
              <w:rPr>
                <w:rFonts w:ascii="Nazanin,Bold" w:eastAsia="Calibri" w:hAnsi="Nazanin,Bold" w:cs="B Nazanin"/>
                <w:color w:val="000000"/>
                <w:sz w:val="20"/>
                <w:szCs w:val="20"/>
                <w:rtl/>
              </w:rPr>
              <w:t>تاريخ</w:t>
            </w:r>
            <w:r w:rsidRPr="008E3688">
              <w:rPr>
                <w:rFonts w:ascii="Nazanin,Bold" w:eastAsia="Calibri" w:hAnsi="Nazanin,Bold" w:cs="B Nazanin"/>
                <w:color w:val="000000"/>
                <w:sz w:val="20"/>
                <w:szCs w:val="20"/>
              </w:rPr>
              <w:t xml:space="preserve"> </w:t>
            </w:r>
            <w:r w:rsidRPr="008E3688">
              <w:rPr>
                <w:rFonts w:ascii="Nazanin,Bold" w:eastAsia="Calibri" w:hAnsi="Nazanin,Bold" w:cs="B Nazanin" w:hint="cs"/>
                <w:color w:val="000000"/>
                <w:sz w:val="20"/>
                <w:szCs w:val="20"/>
                <w:rtl/>
              </w:rPr>
              <w:t>دفاع:</w:t>
            </w:r>
            <w:r w:rsidRPr="008E3688">
              <w:rPr>
                <w:rFonts w:ascii="Nazanin,Bold" w:eastAsia="Calibri" w:hAnsi="Nazanin,Bold" w:cs="B Nazanin" w:hint="cs"/>
                <w:b/>
                <w:bCs/>
                <w:color w:val="000000"/>
                <w:sz w:val="20"/>
                <w:szCs w:val="20"/>
                <w:rtl/>
              </w:rPr>
              <w:t xml:space="preserve"> </w:t>
            </w:r>
          </w:p>
        </w:tc>
        <w:tc>
          <w:tcPr>
            <w:tcW w:w="5718" w:type="dxa"/>
            <w:gridSpan w:val="2"/>
            <w:tcBorders>
              <w:top w:val="nil"/>
              <w:left w:val="nil"/>
              <w:bottom w:val="nil"/>
            </w:tcBorders>
            <w:vAlign w:val="center"/>
          </w:tcPr>
          <w:p w:rsidR="008E3688" w:rsidRPr="008E3688" w:rsidRDefault="008E3688" w:rsidP="008E3688">
            <w:pPr>
              <w:widowControl w:val="0"/>
              <w:bidi/>
              <w:spacing w:after="0" w:line="240" w:lineRule="auto"/>
              <w:jc w:val="both"/>
              <w:rPr>
                <w:rFonts w:ascii="Nazanin,Bold" w:eastAsia="Calibri" w:hAnsi="Nazanin,Bold" w:cs="B Nazanin"/>
                <w:color w:val="000000"/>
                <w:sz w:val="18"/>
                <w:szCs w:val="18"/>
                <w:rtl/>
              </w:rPr>
            </w:pPr>
            <w:r w:rsidRPr="008E3688">
              <w:rPr>
                <w:rFonts w:ascii="Nazanin,Bold" w:eastAsia="Calibri" w:hAnsi="Nazanin,Bold" w:cs="B Nazanin" w:hint="cs"/>
                <w:color w:val="000000"/>
                <w:sz w:val="18"/>
                <w:szCs w:val="18"/>
                <w:rtl/>
              </w:rPr>
              <w:t>۲۰/5/1398</w:t>
            </w:r>
          </w:p>
        </w:tc>
      </w:tr>
      <w:tr w:rsidR="008E3688" w:rsidRPr="008E3688" w:rsidTr="00715606">
        <w:trPr>
          <w:trHeight w:val="20"/>
          <w:jc w:val="center"/>
        </w:trPr>
        <w:tc>
          <w:tcPr>
            <w:tcW w:w="1415" w:type="dxa"/>
            <w:tcBorders>
              <w:top w:val="nil"/>
              <w:bottom w:val="nil"/>
              <w:right w:val="nil"/>
            </w:tcBorders>
            <w:vAlign w:val="center"/>
          </w:tcPr>
          <w:p w:rsidR="008E3688" w:rsidRPr="008E3688" w:rsidRDefault="008E3688" w:rsidP="008E3688">
            <w:pPr>
              <w:widowControl w:val="0"/>
              <w:bidi/>
              <w:spacing w:after="0" w:line="240" w:lineRule="auto"/>
              <w:rPr>
                <w:rFonts w:ascii="Nazanin,Bold" w:eastAsia="Calibri" w:hAnsi="Nazanin,Bold" w:cs="B Nazanin"/>
                <w:b/>
                <w:bCs/>
                <w:color w:val="000000"/>
                <w:sz w:val="20"/>
                <w:szCs w:val="20"/>
                <w:rtl/>
              </w:rPr>
            </w:pPr>
            <w:r w:rsidRPr="008E3688">
              <w:rPr>
                <w:rFonts w:ascii="Nazanin,Bold" w:eastAsia="Calibri" w:hAnsi="Nazanin,Bold" w:cs="B Nazanin"/>
                <w:color w:val="000000"/>
                <w:sz w:val="20"/>
                <w:szCs w:val="20"/>
                <w:rtl/>
              </w:rPr>
              <w:t>تعداد</w:t>
            </w:r>
            <w:r w:rsidRPr="008E3688">
              <w:rPr>
                <w:rFonts w:ascii="Nazanin,Bold" w:eastAsia="Calibri" w:hAnsi="Nazanin,Bold" w:cs="B Nazanin"/>
                <w:color w:val="000000"/>
                <w:sz w:val="20"/>
                <w:szCs w:val="20"/>
              </w:rPr>
              <w:t xml:space="preserve"> </w:t>
            </w:r>
            <w:r w:rsidRPr="008E3688">
              <w:rPr>
                <w:rFonts w:ascii="Nazanin,Bold" w:eastAsia="Calibri" w:hAnsi="Nazanin,Bold" w:cs="B Nazanin"/>
                <w:color w:val="000000"/>
                <w:sz w:val="20"/>
                <w:szCs w:val="20"/>
                <w:rtl/>
              </w:rPr>
              <w:t>صفح</w:t>
            </w:r>
            <w:r w:rsidRPr="008E3688">
              <w:rPr>
                <w:rFonts w:ascii="Nazanin,Bold" w:eastAsia="Calibri" w:hAnsi="Nazanin,Bold" w:cs="B Nazanin" w:hint="cs"/>
                <w:color w:val="000000"/>
                <w:sz w:val="20"/>
                <w:szCs w:val="20"/>
                <w:rtl/>
              </w:rPr>
              <w:t xml:space="preserve">ات: </w:t>
            </w:r>
          </w:p>
        </w:tc>
        <w:tc>
          <w:tcPr>
            <w:tcW w:w="5718" w:type="dxa"/>
            <w:gridSpan w:val="2"/>
            <w:tcBorders>
              <w:top w:val="nil"/>
              <w:left w:val="nil"/>
              <w:bottom w:val="nil"/>
            </w:tcBorders>
            <w:vAlign w:val="center"/>
          </w:tcPr>
          <w:p w:rsidR="008E3688" w:rsidRPr="008E3688" w:rsidRDefault="008E3688" w:rsidP="008E3688">
            <w:pPr>
              <w:widowControl w:val="0"/>
              <w:bidi/>
              <w:spacing w:after="0" w:line="240" w:lineRule="auto"/>
              <w:jc w:val="both"/>
              <w:rPr>
                <w:rFonts w:ascii="Nazanin,Bold" w:eastAsia="Calibri" w:hAnsi="Nazanin,Bold" w:cs="B Nazanin"/>
                <w:b/>
                <w:bCs/>
                <w:color w:val="000000"/>
                <w:sz w:val="18"/>
                <w:szCs w:val="18"/>
                <w:rtl/>
              </w:rPr>
            </w:pPr>
            <w:r w:rsidRPr="008E3688">
              <w:rPr>
                <w:rFonts w:ascii="Nazanin,Bold" w:eastAsia="Calibri" w:hAnsi="Nazanin,Bold" w:cs="B Nazanin" w:hint="cs"/>
                <w:b/>
                <w:bCs/>
                <w:color w:val="000000"/>
                <w:sz w:val="18"/>
                <w:szCs w:val="18"/>
                <w:rtl/>
              </w:rPr>
              <w:t>106  ص.</w:t>
            </w:r>
          </w:p>
        </w:tc>
      </w:tr>
      <w:tr w:rsidR="008E3688" w:rsidRPr="008E3688" w:rsidTr="00715606">
        <w:trPr>
          <w:trHeight w:val="20"/>
          <w:jc w:val="center"/>
        </w:trPr>
        <w:tc>
          <w:tcPr>
            <w:tcW w:w="1415" w:type="dxa"/>
            <w:tcBorders>
              <w:top w:val="nil"/>
              <w:right w:val="nil"/>
            </w:tcBorders>
            <w:vAlign w:val="center"/>
          </w:tcPr>
          <w:p w:rsidR="008E3688" w:rsidRPr="008E3688" w:rsidRDefault="008E3688" w:rsidP="008E3688">
            <w:pPr>
              <w:widowControl w:val="0"/>
              <w:bidi/>
              <w:spacing w:after="0" w:line="240" w:lineRule="auto"/>
              <w:rPr>
                <w:rFonts w:ascii="Nazanin,Bold" w:eastAsia="Calibri" w:hAnsi="Nazanin,Bold" w:cs="B Nazanin"/>
                <w:b/>
                <w:bCs/>
                <w:color w:val="000000"/>
                <w:sz w:val="20"/>
                <w:szCs w:val="20"/>
                <w:rtl/>
              </w:rPr>
            </w:pPr>
            <w:r w:rsidRPr="008E3688">
              <w:rPr>
                <w:rFonts w:ascii="Nazanin,Bold" w:eastAsia="Calibri" w:hAnsi="Nazanin,Bold" w:cs="B Nazanin" w:hint="cs"/>
                <w:color w:val="000000"/>
                <w:sz w:val="20"/>
                <w:szCs w:val="20"/>
                <w:rtl/>
              </w:rPr>
              <w:t>شماره پایان‌نامه:</w:t>
            </w:r>
          </w:p>
        </w:tc>
        <w:tc>
          <w:tcPr>
            <w:tcW w:w="5718" w:type="dxa"/>
            <w:gridSpan w:val="2"/>
            <w:tcBorders>
              <w:top w:val="nil"/>
              <w:left w:val="nil"/>
            </w:tcBorders>
            <w:vAlign w:val="center"/>
          </w:tcPr>
          <w:p w:rsidR="008E3688" w:rsidRPr="008E3688" w:rsidRDefault="008E3688" w:rsidP="008E3688">
            <w:pPr>
              <w:widowControl w:val="0"/>
              <w:bidi/>
              <w:spacing w:after="0" w:line="240" w:lineRule="auto"/>
              <w:jc w:val="both"/>
              <w:rPr>
                <w:rFonts w:ascii="Times New Roman" w:eastAsia="Calibri" w:hAnsi="Times New Roman" w:cs="B Nazanin"/>
                <w:b/>
                <w:bCs/>
                <w:color w:val="000000"/>
                <w:sz w:val="18"/>
                <w:szCs w:val="18"/>
                <w:rtl/>
                <w:lang w:bidi="fa-IR"/>
              </w:rPr>
            </w:pPr>
            <w:r w:rsidRPr="008E3688">
              <w:rPr>
                <w:rFonts w:ascii="Times New Roman" w:eastAsia="Calibri" w:hAnsi="Times New Roman" w:cs="B Nazanin" w:hint="cs"/>
                <w:b/>
                <w:bCs/>
                <w:color w:val="000000"/>
                <w:sz w:val="18"/>
                <w:szCs w:val="18"/>
                <w:rtl/>
                <w:lang w:bidi="fa-IR"/>
              </w:rPr>
              <w:t>گروه آموزشی مشاوره</w:t>
            </w:r>
          </w:p>
        </w:tc>
      </w:tr>
      <w:tr w:rsidR="008E3688" w:rsidRPr="008E3688" w:rsidTr="00715606">
        <w:trPr>
          <w:trHeight w:val="1268"/>
          <w:jc w:val="center"/>
        </w:trPr>
        <w:tc>
          <w:tcPr>
            <w:tcW w:w="7133" w:type="dxa"/>
            <w:gridSpan w:val="3"/>
          </w:tcPr>
          <w:sdt>
            <w:sdtPr>
              <w:rPr>
                <w:rFonts w:ascii="Times New Roman" w:eastAsia="Calibri" w:hAnsi="Times New Roman" w:cs="B Nazanin"/>
                <w:b/>
                <w:bCs/>
                <w:color w:val="000000"/>
                <w:rtl/>
                <w:lang w:bidi="fa-IR"/>
              </w:rPr>
              <w:alias w:val="چکیده"/>
              <w:tag w:val="چکیده"/>
              <w:id w:val="93636632"/>
              <w:text/>
            </w:sdtPr>
            <w:sdtContent>
              <w:p w:rsidR="008E3688" w:rsidRPr="008E3688" w:rsidRDefault="008E3688" w:rsidP="008E3688">
                <w:pPr>
                  <w:widowControl w:val="0"/>
                  <w:bidi/>
                  <w:spacing w:before="120" w:after="0" w:line="240" w:lineRule="auto"/>
                  <w:ind w:left="113"/>
                  <w:jc w:val="lowKashida"/>
                  <w:outlineLvl w:val="0"/>
                  <w:rPr>
                    <w:rFonts w:ascii="Times New Roman" w:eastAsia="Calibri" w:hAnsi="Times New Roman" w:cs="B Nazanin"/>
                    <w:b/>
                    <w:bCs/>
                    <w:color w:val="000000"/>
                    <w:rtl/>
                    <w:lang w:bidi="fa-IR"/>
                  </w:rPr>
                </w:pPr>
                <w:r w:rsidRPr="008E3688">
                  <w:rPr>
                    <w:rFonts w:ascii="Times New Roman" w:eastAsia="Calibri" w:hAnsi="Times New Roman" w:cs="B Nazanin"/>
                    <w:b/>
                    <w:bCs/>
                    <w:color w:val="000000"/>
                    <w:rtl/>
                    <w:lang w:bidi="fa-IR"/>
                  </w:rPr>
                  <w:t>چکیده:</w:t>
                </w:r>
              </w:p>
            </w:sdtContent>
          </w:sdt>
          <w:p w:rsidR="008E3688" w:rsidRPr="008E3688" w:rsidRDefault="008E3688" w:rsidP="008E3688">
            <w:pPr>
              <w:widowControl w:val="0"/>
              <w:bidi/>
              <w:spacing w:after="0" w:line="240" w:lineRule="auto"/>
              <w:jc w:val="lowKashida"/>
              <w:rPr>
                <w:rFonts w:ascii="Times New Roman" w:eastAsia="Calibri" w:hAnsi="Times New Roman" w:cs="B Nazanin"/>
                <w:b/>
                <w:bCs/>
                <w:color w:val="000000"/>
                <w:rtl/>
                <w:lang w:bidi="fa-IR"/>
              </w:rPr>
            </w:pPr>
            <w:r w:rsidRPr="008E3688">
              <w:rPr>
                <w:rFonts w:ascii="Times New Roman" w:eastAsia="Calibri" w:hAnsi="Times New Roman" w:cs="B Nazanin" w:hint="cs"/>
                <w:b/>
                <w:bCs/>
                <w:color w:val="000000"/>
                <w:rtl/>
                <w:lang w:bidi="fa-IR"/>
              </w:rPr>
              <w:t xml:space="preserve"> هدف: </w:t>
            </w:r>
            <w:r w:rsidRPr="008E3688">
              <w:rPr>
                <w:rFonts w:ascii="Times New Roman" w:eastAsia="Calibri" w:hAnsi="Times New Roman" w:cs="B Nazanin" w:hint="cs"/>
                <w:color w:val="000000"/>
                <w:sz w:val="24"/>
                <w:szCs w:val="24"/>
                <w:rtl/>
                <w:lang w:bidi="fa-IR"/>
              </w:rPr>
              <w:t>پژوهش حاضر با هدف مقایسه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ی الگوهای ارتباطی زوجین، عملکرد خانواده و سازگاری زناشویی در زنان نابارور و بارور انجام گرفت.</w:t>
            </w:r>
          </w:p>
          <w:p w:rsidR="008E3688" w:rsidRPr="008E3688" w:rsidRDefault="008E3688" w:rsidP="008E3688">
            <w:pPr>
              <w:widowControl w:val="0"/>
              <w:bidi/>
              <w:spacing w:after="0" w:line="240" w:lineRule="auto"/>
              <w:jc w:val="lowKashida"/>
              <w:rPr>
                <w:rFonts w:ascii="Times New Roman" w:eastAsia="Calibri" w:hAnsi="Times New Roman" w:cs="B Nazanin"/>
                <w:b/>
                <w:bCs/>
                <w:color w:val="000000"/>
                <w:rtl/>
                <w:lang w:bidi="fa-IR"/>
              </w:rPr>
            </w:pPr>
            <w:sdt>
              <w:sdtPr>
                <w:rPr>
                  <w:rFonts w:ascii="Times New Roman" w:eastAsia="Calibri" w:hAnsi="Times New Roman" w:cs="B Nazanin"/>
                  <w:b/>
                  <w:bCs/>
                  <w:color w:val="000000"/>
                  <w:rtl/>
                  <w:lang w:bidi="fa-IR"/>
                </w:rPr>
                <w:alias w:val="روش شناسی پژوهش"/>
                <w:tag w:val="روش شناسی پژوهش"/>
                <w:id w:val="93636594"/>
                <w:temporary/>
              </w:sdtPr>
              <w:sdtContent>
                <w:r w:rsidRPr="008E3688">
                  <w:rPr>
                    <w:rFonts w:ascii="Times New Roman" w:eastAsia="Calibri" w:hAnsi="Times New Roman" w:cs="B Nazanin" w:hint="cs"/>
                    <w:b/>
                    <w:bCs/>
                    <w:color w:val="000000"/>
                    <w:rtl/>
                    <w:lang w:bidi="fa-IR"/>
                  </w:rPr>
                  <w:t>روش‌شناسی پژوهش:</w:t>
                </w:r>
              </w:sdtContent>
            </w:sdt>
            <w:r w:rsidRPr="008E3688">
              <w:rPr>
                <w:rFonts w:ascii="Times New Roman" w:eastAsia="Calibri" w:hAnsi="Times New Roman" w:cs="B Nazanin" w:hint="cs"/>
                <w:color w:val="000000"/>
                <w:sz w:val="24"/>
                <w:szCs w:val="24"/>
                <w:rtl/>
                <w:lang w:bidi="fa-IR"/>
              </w:rPr>
              <w:t>روش پژوهش توصیفی از نوع علّی مقایسه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ای بود. زنان نابارور و بارور مراجعه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کننده به بیمارستان</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های درمان ناباروری شهر شیراز در سال 1398 جامعه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ی آماری این پژوهش را تشکیل می</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دادند (4 بیمارستان) که از میان آن</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ها با استفاده از روش نمونه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گیری تصادفی خوشه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ای ۲۰۰ نفر (۱۰۰ زن نابارور و ۱۰۰ زن بارور) به عنوان نمونه انتخاب شده و به  پرسشنامه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ها</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ی الگوهای ارتباطی زوجین کریستنسن و سالاوی، ابزار سنجش خانواده اپستین، بالدوین و بیشاپ و سازگاری زناشویی اسپانیر پاسخ دادند. برای تجزیه و تحلیل داده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ها از تحلیل واریانس چند متغیری استفاده شد.</w:t>
            </w:r>
          </w:p>
          <w:p w:rsidR="008E3688" w:rsidRPr="008E3688" w:rsidRDefault="008E3688" w:rsidP="008E3688">
            <w:pPr>
              <w:widowControl w:val="0"/>
              <w:bidi/>
              <w:spacing w:after="0" w:line="240" w:lineRule="auto"/>
              <w:jc w:val="lowKashida"/>
              <w:rPr>
                <w:rFonts w:ascii="Times New Roman" w:eastAsia="Calibri" w:hAnsi="Times New Roman" w:cs="B Nazanin"/>
                <w:color w:val="000000"/>
                <w:szCs w:val="24"/>
                <w:rtl/>
              </w:rPr>
            </w:pPr>
            <w:sdt>
              <w:sdtPr>
                <w:rPr>
                  <w:rFonts w:ascii="Times New Roman" w:eastAsia="Calibri" w:hAnsi="Times New Roman" w:cs="B Nazanin" w:hint="cs"/>
                  <w:b/>
                  <w:bCs/>
                  <w:color w:val="000000"/>
                  <w:szCs w:val="24"/>
                  <w:rtl/>
                </w:rPr>
                <w:alias w:val="یافته‌ها"/>
                <w:tag w:val="یافته‌ها"/>
                <w:id w:val="93636596"/>
                <w:temporary/>
              </w:sdtPr>
              <w:sdtEndPr>
                <w:rPr>
                  <w:b w:val="0"/>
                  <w:bCs w:val="0"/>
                </w:rPr>
              </w:sdtEndPr>
              <w:sdtContent>
                <w:r w:rsidRPr="008E3688">
                  <w:rPr>
                    <w:rFonts w:ascii="Times New Roman" w:eastAsia="Calibri" w:hAnsi="Times New Roman" w:cs="B Nazanin" w:hint="cs"/>
                    <w:b/>
                    <w:bCs/>
                    <w:color w:val="000000"/>
                    <w:sz w:val="18"/>
                    <w:rtl/>
                  </w:rPr>
                  <w:t>یافته‌ها</w:t>
                </w:r>
                <w:r w:rsidRPr="008E3688">
                  <w:rPr>
                    <w:rFonts w:ascii="Times New Roman" w:eastAsia="Calibri" w:hAnsi="Times New Roman" w:cs="B Nazanin" w:hint="cs"/>
                    <w:color w:val="000000"/>
                    <w:sz w:val="18"/>
                    <w:rtl/>
                  </w:rPr>
                  <w:t xml:space="preserve">: </w:t>
                </w:r>
              </w:sdtContent>
            </w:sdt>
            <w:r w:rsidRPr="008E3688">
              <w:rPr>
                <w:rFonts w:ascii="Times New Roman" w:eastAsia="Calibri" w:hAnsi="Times New Roman" w:cs="B Nazanin" w:hint="cs"/>
                <w:color w:val="000000"/>
                <w:sz w:val="24"/>
                <w:szCs w:val="24"/>
                <w:rtl/>
                <w:lang w:bidi="fa-IR"/>
              </w:rPr>
              <w:t>یافته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ها نشان داد که بین زنان نابارور و بارور از نظر الگوهای ارتباطی زوجین، عملکرد خانواده و سازگاری زناشویی تفاوت معناداری وجود دارد. بدین صورت که در مقایسه با زنان بارور، میانگین نمره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های الگو</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ی ارتباطی سازنده</w:t>
            </w:r>
            <w:r w:rsidRPr="008E3688">
              <w:rPr>
                <w:rFonts w:ascii="Times New Roman" w:eastAsia="Calibri" w:hAnsi="Times New Roman" w:cs="B Nazanin"/>
                <w:color w:val="000000"/>
                <w:sz w:val="24"/>
                <w:szCs w:val="24"/>
                <w:rtl/>
                <w:lang w:bidi="fa-IR"/>
              </w:rPr>
              <w:softHyphen/>
            </w:r>
            <w:r w:rsidRPr="008E3688">
              <w:rPr>
                <w:rFonts w:ascii="Times New Roman" w:eastAsia="Calibri" w:hAnsi="Times New Roman" w:cs="B Nazanin" w:hint="cs"/>
                <w:color w:val="000000"/>
                <w:sz w:val="24"/>
                <w:szCs w:val="24"/>
                <w:rtl/>
                <w:lang w:bidi="fa-IR"/>
              </w:rPr>
              <w:t xml:space="preserve">ی متقابل، </w:t>
            </w:r>
            <w:r w:rsidRPr="008E3688">
              <w:rPr>
                <w:rFonts w:ascii="Times New Roman" w:eastAsia="Calibri" w:hAnsi="Times New Roman" w:cs="B Nazanin" w:hint="cs"/>
                <w:color w:val="000000"/>
                <w:sz w:val="24"/>
                <w:szCs w:val="24"/>
                <w:rtl/>
              </w:rPr>
              <w:t>عملکرد خانواده، سازگاری زناشویی زنان نابارور به</w:t>
            </w:r>
            <w:r w:rsidRPr="008E3688">
              <w:rPr>
                <w:rFonts w:ascii="Times New Roman" w:eastAsia="Calibri" w:hAnsi="Times New Roman" w:cs="B Nazanin"/>
                <w:color w:val="000000"/>
                <w:sz w:val="24"/>
                <w:szCs w:val="24"/>
                <w:rtl/>
              </w:rPr>
              <w:softHyphen/>
            </w:r>
            <w:r w:rsidRPr="008E3688">
              <w:rPr>
                <w:rFonts w:ascii="Times New Roman" w:eastAsia="Calibri" w:hAnsi="Times New Roman" w:cs="B Nazanin" w:hint="cs"/>
                <w:color w:val="000000"/>
                <w:sz w:val="24"/>
                <w:szCs w:val="24"/>
                <w:rtl/>
              </w:rPr>
              <w:t>طور معناداری کمتر بود</w:t>
            </w:r>
            <w:r w:rsidRPr="008E3688">
              <w:rPr>
                <w:rFonts w:ascii="Times New Roman" w:eastAsia="Calibri" w:hAnsi="Times New Roman" w:cs="B Nazanin" w:hint="cs"/>
                <w:color w:val="000000"/>
                <w:sz w:val="28"/>
                <w:szCs w:val="28"/>
                <w:rtl/>
              </w:rPr>
              <w:t>.</w:t>
            </w:r>
          </w:p>
          <w:p w:rsidR="008E3688" w:rsidRPr="008E3688" w:rsidRDefault="008E3688" w:rsidP="008E3688">
            <w:pPr>
              <w:widowControl w:val="0"/>
              <w:bidi/>
              <w:spacing w:after="0" w:line="240" w:lineRule="auto"/>
              <w:jc w:val="lowKashida"/>
              <w:rPr>
                <w:rFonts w:ascii="Times New Roman" w:eastAsia="Calibri" w:hAnsi="Times New Roman" w:cs="B Nazanin"/>
                <w:color w:val="000000"/>
                <w:rtl/>
              </w:rPr>
            </w:pPr>
            <w:sdt>
              <w:sdtPr>
                <w:rPr>
                  <w:rFonts w:ascii="Times New Roman" w:eastAsia="Calibri" w:hAnsi="Times New Roman" w:cs="B Nazanin" w:hint="cs"/>
                  <w:b/>
                  <w:bCs/>
                  <w:color w:val="000000"/>
                  <w:rtl/>
                </w:rPr>
                <w:alias w:val="نتیجه‌گیری"/>
                <w:tag w:val="نتیجه‌گیری"/>
                <w:id w:val="93636598"/>
                <w:temporary/>
              </w:sdtPr>
              <w:sdtEndPr>
                <w:rPr>
                  <w:b w:val="0"/>
                  <w:bCs w:val="0"/>
                </w:rPr>
              </w:sdtEndPr>
              <w:sdtContent>
                <w:r w:rsidRPr="008E3688">
                  <w:rPr>
                    <w:rFonts w:ascii="Times New Roman" w:eastAsia="Calibri" w:hAnsi="Times New Roman" w:cs="B Nazanin" w:hint="cs"/>
                    <w:b/>
                    <w:bCs/>
                    <w:color w:val="000000"/>
                    <w:rtl/>
                  </w:rPr>
                  <w:t xml:space="preserve">نتیجه‌گیری: </w:t>
                </w:r>
              </w:sdtContent>
            </w:sdt>
            <w:r w:rsidRPr="008E3688">
              <w:rPr>
                <w:rFonts w:ascii="Times New Roman" w:eastAsia="Calibri" w:hAnsi="Times New Roman" w:cs="B Nazanin" w:hint="cs"/>
                <w:color w:val="000000"/>
                <w:sz w:val="24"/>
                <w:szCs w:val="24"/>
                <w:rtl/>
              </w:rPr>
              <w:t>می</w:t>
            </w:r>
            <w:r w:rsidRPr="008E3688">
              <w:rPr>
                <w:rFonts w:ascii="Times New Roman" w:eastAsia="Calibri" w:hAnsi="Times New Roman" w:cs="B Nazanin"/>
                <w:color w:val="000000"/>
                <w:sz w:val="24"/>
                <w:szCs w:val="24"/>
                <w:rtl/>
              </w:rPr>
              <w:softHyphen/>
            </w:r>
            <w:r w:rsidRPr="008E3688">
              <w:rPr>
                <w:rFonts w:ascii="Times New Roman" w:eastAsia="Calibri" w:hAnsi="Times New Roman" w:cs="B Nazanin" w:hint="cs"/>
                <w:color w:val="000000"/>
                <w:sz w:val="24"/>
                <w:szCs w:val="24"/>
                <w:rtl/>
              </w:rPr>
              <w:t>توان نتیجه گرفت که الگوی ارتباطی سازنده</w:t>
            </w:r>
            <w:r w:rsidRPr="008E3688">
              <w:rPr>
                <w:rFonts w:ascii="Times New Roman" w:eastAsia="Calibri" w:hAnsi="Times New Roman" w:cs="B Nazanin"/>
                <w:color w:val="000000"/>
                <w:sz w:val="24"/>
                <w:szCs w:val="24"/>
                <w:rtl/>
              </w:rPr>
              <w:softHyphen/>
            </w:r>
            <w:r w:rsidRPr="008E3688">
              <w:rPr>
                <w:rFonts w:ascii="Times New Roman" w:eastAsia="Calibri" w:hAnsi="Times New Roman" w:cs="B Nazanin" w:hint="cs"/>
                <w:color w:val="000000"/>
                <w:sz w:val="24"/>
                <w:szCs w:val="24"/>
                <w:rtl/>
              </w:rPr>
              <w:t>ی متقابل، عملکرد خانواده و سازگاری زناشویی از جمله متغیرهایی است که در زنان نابارور نیازمند توجه و برنامه</w:t>
            </w:r>
            <w:r w:rsidRPr="008E3688">
              <w:rPr>
                <w:rFonts w:ascii="Times New Roman" w:eastAsia="Calibri" w:hAnsi="Times New Roman" w:cs="B Nazanin"/>
                <w:color w:val="000000"/>
                <w:sz w:val="24"/>
                <w:szCs w:val="24"/>
                <w:rtl/>
              </w:rPr>
              <w:softHyphen/>
            </w:r>
            <w:r w:rsidRPr="008E3688">
              <w:rPr>
                <w:rFonts w:ascii="Times New Roman" w:eastAsia="Calibri" w:hAnsi="Times New Roman" w:cs="B Nazanin" w:hint="cs"/>
                <w:color w:val="000000"/>
                <w:sz w:val="24"/>
                <w:szCs w:val="24"/>
                <w:rtl/>
              </w:rPr>
              <w:t>ریزی در جهت ارتقاء می</w:t>
            </w:r>
            <w:r w:rsidRPr="008E3688">
              <w:rPr>
                <w:rFonts w:ascii="Times New Roman" w:eastAsia="Calibri" w:hAnsi="Times New Roman" w:cs="B Nazanin"/>
                <w:color w:val="000000"/>
                <w:sz w:val="24"/>
                <w:szCs w:val="24"/>
                <w:rtl/>
              </w:rPr>
              <w:softHyphen/>
            </w:r>
            <w:r w:rsidRPr="008E3688">
              <w:rPr>
                <w:rFonts w:ascii="Times New Roman" w:eastAsia="Calibri" w:hAnsi="Times New Roman" w:cs="B Nazanin" w:hint="cs"/>
                <w:color w:val="000000"/>
                <w:sz w:val="24"/>
                <w:szCs w:val="24"/>
                <w:rtl/>
              </w:rPr>
              <w:t>باشند.</w:t>
            </w:r>
          </w:p>
          <w:p w:rsidR="008E3688" w:rsidRPr="008E3688" w:rsidRDefault="008E3688" w:rsidP="008E3688">
            <w:pPr>
              <w:widowControl w:val="0"/>
              <w:bidi/>
              <w:spacing w:before="120" w:after="0" w:line="240" w:lineRule="auto"/>
              <w:jc w:val="lowKashida"/>
              <w:rPr>
                <w:rFonts w:ascii="Times New Roman" w:eastAsia="Calibri" w:hAnsi="Times New Roman" w:cs="B Nazanin"/>
                <w:color w:val="000000"/>
                <w:rtl/>
                <w:lang w:bidi="fa-IR"/>
              </w:rPr>
            </w:pPr>
            <w:sdt>
              <w:sdtPr>
                <w:rPr>
                  <w:rFonts w:ascii="Times New Roman" w:eastAsia="Calibri" w:hAnsi="Times New Roman" w:cs="B Nazanin" w:hint="cs"/>
                  <w:b/>
                  <w:bCs/>
                  <w:color w:val="000000"/>
                  <w:rtl/>
                  <w:lang w:bidi="fa-IR"/>
                </w:rPr>
                <w:alias w:val="واژه‌های کلیدی"/>
                <w:tag w:val="واژه‌های کلیدی"/>
                <w:id w:val="93636600"/>
                <w:lock w:val="contentLocked"/>
              </w:sdtPr>
              <w:sdtEndPr>
                <w:rPr>
                  <w:b w:val="0"/>
                  <w:bCs w:val="0"/>
                </w:rPr>
              </w:sdtEndPr>
              <w:sdtContent>
                <w:r w:rsidRPr="008E3688">
                  <w:rPr>
                    <w:rFonts w:ascii="Times New Roman" w:eastAsia="Calibri" w:hAnsi="Times New Roman" w:cs="B Nazanin" w:hint="cs"/>
                    <w:b/>
                    <w:bCs/>
                    <w:color w:val="000000"/>
                    <w:rtl/>
                    <w:lang w:bidi="fa-IR"/>
                  </w:rPr>
                  <w:t xml:space="preserve">واژه‌های کلیدی: </w:t>
                </w:r>
              </w:sdtContent>
            </w:sdt>
            <w:r w:rsidRPr="008E3688">
              <w:rPr>
                <w:rFonts w:ascii="Times New Roman" w:eastAsia="Calibri" w:hAnsi="Times New Roman" w:cs="B Nazanin" w:hint="cs"/>
                <w:color w:val="000000"/>
                <w:sz w:val="24"/>
                <w:szCs w:val="24"/>
                <w:rtl/>
                <w:lang w:bidi="fa-IR"/>
              </w:rPr>
              <w:t>الگوهای ارتباطی زوجین، عملکرد خانواده، سازگاری زناشویی، زنان نابارور، زنان بارور.</w:t>
            </w:r>
          </w:p>
          <w:p w:rsidR="008E3688" w:rsidRPr="008E3688" w:rsidRDefault="008E3688" w:rsidP="008E3688">
            <w:pPr>
              <w:widowControl w:val="0"/>
              <w:bidi/>
              <w:spacing w:after="0" w:line="288" w:lineRule="auto"/>
              <w:jc w:val="lowKashida"/>
              <w:rPr>
                <w:rFonts w:ascii="Nazanin,Bold" w:eastAsia="Calibri" w:hAnsi="Nazanin,Bold" w:cs="B Nazanin"/>
                <w:color w:val="000000"/>
                <w:sz w:val="26"/>
                <w:szCs w:val="24"/>
                <w:rtl/>
              </w:rPr>
            </w:pPr>
          </w:p>
        </w:tc>
      </w:tr>
    </w:tbl>
    <w:p w:rsidR="00BA4B4C" w:rsidRDefault="00BA4B4C"/>
    <w:p w:rsidR="008E3688" w:rsidRDefault="008E3688"/>
    <w:p w:rsidR="008E3688" w:rsidRDefault="008E3688"/>
    <w:p w:rsidR="008E3688" w:rsidRDefault="008E3688"/>
    <w:p w:rsidR="008E3688" w:rsidRDefault="008E3688"/>
    <w:p w:rsidR="008E3688" w:rsidRDefault="008E3688"/>
    <w:p w:rsidR="008E3688" w:rsidRDefault="008E3688"/>
    <w:p w:rsidR="008E3688" w:rsidRDefault="008E3688"/>
    <w:p w:rsidR="008E3688" w:rsidRDefault="008E3688"/>
    <w:p w:rsidR="008E3688" w:rsidRDefault="008E3688"/>
    <w:p w:rsidR="008E3688" w:rsidRDefault="008E3688"/>
    <w:p w:rsidR="008E3688" w:rsidRDefault="008E368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9"/>
        <w:gridCol w:w="7337"/>
      </w:tblGrid>
      <w:tr w:rsidR="008E3688" w:rsidRPr="008E3688" w:rsidTr="00715606">
        <w:trPr>
          <w:trHeight w:val="20"/>
          <w:jc w:val="center"/>
        </w:trPr>
        <w:tc>
          <w:tcPr>
            <w:tcW w:w="1668" w:type="dxa"/>
            <w:tcBorders>
              <w:bottom w:val="nil"/>
              <w:right w:val="nil"/>
            </w:tcBorders>
            <w:vAlign w:val="center"/>
          </w:tcPr>
          <w:p w:rsidR="008E3688" w:rsidRPr="008E3688" w:rsidRDefault="008E3688" w:rsidP="008E3688">
            <w:pPr>
              <w:widowControl w:val="0"/>
              <w:spacing w:after="0" w:line="240" w:lineRule="auto"/>
              <w:rPr>
                <w:rFonts w:ascii="Times New Roman" w:eastAsia="Calibri" w:hAnsi="Times New Roman" w:cs="Times New Roman"/>
                <w:color w:val="000000"/>
                <w:sz w:val="20"/>
                <w:szCs w:val="20"/>
                <w:rtl/>
                <w:lang w:bidi="fa-IR"/>
              </w:rPr>
            </w:pPr>
            <w:r w:rsidRPr="008E3688">
              <w:rPr>
                <w:rFonts w:ascii="Times New Roman" w:eastAsia="Calibri" w:hAnsi="Times New Roman" w:cs="Times New Roman"/>
                <w:color w:val="000000"/>
                <w:sz w:val="20"/>
                <w:szCs w:val="20"/>
                <w:rtl/>
                <w:lang w:bidi="fa-IR"/>
              </w:rPr>
              <w:br w:type="page"/>
            </w:r>
            <w:r w:rsidRPr="008E3688">
              <w:rPr>
                <w:rFonts w:ascii="Times New Roman" w:eastAsia="Calibri" w:hAnsi="Times New Roman" w:cs="Times New Roman"/>
                <w:color w:val="000000"/>
                <w:sz w:val="20"/>
                <w:szCs w:val="20"/>
              </w:rPr>
              <w:t>Title and Author:</w:t>
            </w:r>
          </w:p>
        </w:tc>
        <w:tc>
          <w:tcPr>
            <w:tcW w:w="5465" w:type="dxa"/>
            <w:tcBorders>
              <w:left w:val="nil"/>
              <w:bottom w:val="nil"/>
            </w:tcBorders>
            <w:vAlign w:val="center"/>
          </w:tcPr>
          <w:p w:rsidR="008E3688" w:rsidRPr="008E3688" w:rsidRDefault="008E3688" w:rsidP="008E3688">
            <w:pPr>
              <w:widowControl w:val="0"/>
              <w:spacing w:after="0" w:line="240" w:lineRule="auto"/>
              <w:jc w:val="both"/>
              <w:rPr>
                <w:rFonts w:ascii="Times New Roman" w:eastAsia="Calibri" w:hAnsi="Times New Roman" w:cs="Times New Roman"/>
                <w:b/>
                <w:bCs/>
                <w:color w:val="000000"/>
                <w:sz w:val="18"/>
                <w:szCs w:val="18"/>
                <w:rtl/>
                <w:lang w:bidi="fa-IR"/>
              </w:rPr>
            </w:pPr>
            <w:r w:rsidRPr="008E3688">
              <w:rPr>
                <w:rFonts w:ascii="Times New Roman" w:eastAsia="Calibri" w:hAnsi="Times New Roman" w:cs="Times New Roman"/>
                <w:b/>
                <w:bCs/>
                <w:color w:val="000000"/>
                <w:sz w:val="18"/>
                <w:szCs w:val="18"/>
                <w:lang w:bidi="fa-IR"/>
              </w:rPr>
              <w:t>Comparison of Ouples' Communication Patterns, Family Function and Marital Adjustment of Infertile and Fertile Women / Narjes Zare</w:t>
            </w:r>
          </w:p>
        </w:tc>
      </w:tr>
      <w:tr w:rsidR="008E3688" w:rsidRPr="008E3688" w:rsidTr="00715606">
        <w:trPr>
          <w:trHeight w:val="20"/>
          <w:jc w:val="center"/>
        </w:trPr>
        <w:tc>
          <w:tcPr>
            <w:tcW w:w="1668" w:type="dxa"/>
            <w:tcBorders>
              <w:top w:val="nil"/>
              <w:bottom w:val="nil"/>
              <w:right w:val="nil"/>
            </w:tcBorders>
            <w:vAlign w:val="center"/>
          </w:tcPr>
          <w:p w:rsidR="008E3688" w:rsidRPr="008E3688" w:rsidRDefault="008E3688" w:rsidP="008E3688">
            <w:pPr>
              <w:widowControl w:val="0"/>
              <w:spacing w:after="0" w:line="240" w:lineRule="auto"/>
              <w:rPr>
                <w:rFonts w:ascii="Times New Roman" w:eastAsia="Calibri" w:hAnsi="Times New Roman" w:cs="Times New Roman"/>
                <w:color w:val="000000"/>
                <w:sz w:val="20"/>
                <w:szCs w:val="20"/>
                <w:rtl/>
              </w:rPr>
            </w:pPr>
            <w:r w:rsidRPr="008E3688">
              <w:rPr>
                <w:rFonts w:ascii="Times New Roman" w:eastAsia="Calibri" w:hAnsi="Times New Roman" w:cs="Times New Roman"/>
                <w:color w:val="000000"/>
                <w:sz w:val="20"/>
                <w:szCs w:val="20"/>
              </w:rPr>
              <w:t>Supervisor:</w:t>
            </w:r>
          </w:p>
        </w:tc>
        <w:tc>
          <w:tcPr>
            <w:tcW w:w="5465" w:type="dxa"/>
            <w:tcBorders>
              <w:top w:val="nil"/>
              <w:left w:val="nil"/>
              <w:bottom w:val="nil"/>
            </w:tcBorders>
            <w:vAlign w:val="center"/>
          </w:tcPr>
          <w:p w:rsidR="008E3688" w:rsidRPr="008E3688" w:rsidRDefault="008E3688" w:rsidP="008E3688">
            <w:pPr>
              <w:widowControl w:val="0"/>
              <w:spacing w:after="0" w:line="240" w:lineRule="auto"/>
              <w:rPr>
                <w:rFonts w:ascii="Times New Roman" w:eastAsia="Calibri" w:hAnsi="Times New Roman" w:cs="Times New Roman"/>
                <w:b/>
                <w:bCs/>
                <w:color w:val="000000"/>
                <w:sz w:val="18"/>
                <w:szCs w:val="18"/>
                <w:rtl/>
              </w:rPr>
            </w:pPr>
            <w:r w:rsidRPr="008E3688">
              <w:rPr>
                <w:rFonts w:ascii="Times New Roman" w:eastAsia="Calibri" w:hAnsi="Times New Roman" w:cs="Times New Roman"/>
                <w:b/>
                <w:bCs/>
                <w:color w:val="000000"/>
                <w:sz w:val="18"/>
                <w:szCs w:val="18"/>
              </w:rPr>
              <w:t>Ali Sheykholeslami</w:t>
            </w:r>
          </w:p>
        </w:tc>
      </w:tr>
      <w:tr w:rsidR="008E3688" w:rsidRPr="008E3688" w:rsidTr="00715606">
        <w:trPr>
          <w:trHeight w:val="20"/>
          <w:jc w:val="center"/>
        </w:trPr>
        <w:tc>
          <w:tcPr>
            <w:tcW w:w="1668" w:type="dxa"/>
            <w:tcBorders>
              <w:top w:val="nil"/>
              <w:bottom w:val="nil"/>
              <w:right w:val="nil"/>
            </w:tcBorders>
            <w:vAlign w:val="center"/>
          </w:tcPr>
          <w:p w:rsidR="008E3688" w:rsidRPr="008E3688" w:rsidRDefault="008E3688" w:rsidP="008E3688">
            <w:pPr>
              <w:widowControl w:val="0"/>
              <w:spacing w:after="0" w:line="240" w:lineRule="auto"/>
              <w:rPr>
                <w:rFonts w:ascii="Times New Roman" w:eastAsia="Calibri" w:hAnsi="Times New Roman" w:cs="Times New Roman"/>
                <w:color w:val="000000"/>
                <w:sz w:val="20"/>
                <w:szCs w:val="20"/>
                <w:rtl/>
              </w:rPr>
            </w:pPr>
            <w:r w:rsidRPr="008E3688">
              <w:rPr>
                <w:rFonts w:ascii="Times New Roman" w:eastAsia="Calibri" w:hAnsi="Times New Roman" w:cs="Times New Roman"/>
                <w:color w:val="000000"/>
                <w:sz w:val="20"/>
                <w:szCs w:val="20"/>
              </w:rPr>
              <w:t>Graduation date:</w:t>
            </w:r>
          </w:p>
        </w:tc>
        <w:tc>
          <w:tcPr>
            <w:tcW w:w="5465" w:type="dxa"/>
            <w:tcBorders>
              <w:top w:val="nil"/>
              <w:left w:val="nil"/>
              <w:bottom w:val="nil"/>
            </w:tcBorders>
            <w:vAlign w:val="center"/>
          </w:tcPr>
          <w:p w:rsidR="008E3688" w:rsidRPr="008E3688" w:rsidRDefault="008E3688" w:rsidP="008E3688">
            <w:pPr>
              <w:widowControl w:val="0"/>
              <w:spacing w:after="0" w:line="240" w:lineRule="auto"/>
              <w:rPr>
                <w:rFonts w:ascii="Times New Roman" w:eastAsia="Calibri" w:hAnsi="Times New Roman" w:cs="Times New Roman"/>
                <w:b/>
                <w:bCs/>
                <w:color w:val="000000"/>
                <w:sz w:val="18"/>
                <w:szCs w:val="18"/>
              </w:rPr>
            </w:pPr>
            <w:r w:rsidRPr="008E3688">
              <w:rPr>
                <w:rFonts w:ascii="Times New Roman" w:eastAsia="Calibri" w:hAnsi="Times New Roman" w:cs="Times New Roman"/>
                <w:b/>
                <w:bCs/>
                <w:color w:val="000000"/>
                <w:sz w:val="18"/>
                <w:szCs w:val="18"/>
              </w:rPr>
              <w:t>2019.08</w:t>
            </w:r>
            <w:r w:rsidRPr="008E3688">
              <w:rPr>
                <w:rFonts w:ascii="Times New Roman" w:eastAsia="Calibri" w:hAnsi="Times New Roman" w:cs="Times New Roman" w:hint="cs"/>
                <w:b/>
                <w:bCs/>
                <w:color w:val="000000"/>
                <w:sz w:val="18"/>
                <w:szCs w:val="18"/>
                <w:rtl/>
              </w:rPr>
              <w:t>.</w:t>
            </w:r>
            <w:r w:rsidRPr="008E3688">
              <w:rPr>
                <w:rFonts w:ascii="Times New Roman" w:eastAsia="Calibri" w:hAnsi="Times New Roman" w:cs="Times New Roman"/>
                <w:b/>
                <w:bCs/>
                <w:color w:val="000000"/>
                <w:sz w:val="18"/>
                <w:szCs w:val="18"/>
              </w:rPr>
              <w:t>11</w:t>
            </w:r>
          </w:p>
        </w:tc>
      </w:tr>
      <w:tr w:rsidR="008E3688" w:rsidRPr="008E3688" w:rsidTr="00715606">
        <w:trPr>
          <w:trHeight w:val="20"/>
          <w:jc w:val="center"/>
        </w:trPr>
        <w:tc>
          <w:tcPr>
            <w:tcW w:w="1668" w:type="dxa"/>
            <w:tcBorders>
              <w:top w:val="nil"/>
              <w:right w:val="nil"/>
            </w:tcBorders>
            <w:vAlign w:val="center"/>
          </w:tcPr>
          <w:p w:rsidR="008E3688" w:rsidRPr="008E3688" w:rsidRDefault="008E3688" w:rsidP="008E3688">
            <w:pPr>
              <w:widowControl w:val="0"/>
              <w:spacing w:after="0" w:line="240" w:lineRule="auto"/>
              <w:rPr>
                <w:rFonts w:ascii="Times New Roman" w:eastAsia="Calibri" w:hAnsi="Times New Roman" w:cs="Times New Roman"/>
                <w:b/>
                <w:bCs/>
                <w:color w:val="000000"/>
                <w:sz w:val="20"/>
                <w:szCs w:val="20"/>
                <w:rtl/>
              </w:rPr>
            </w:pPr>
            <w:r w:rsidRPr="008E3688">
              <w:rPr>
                <w:rFonts w:ascii="Times New Roman" w:eastAsia="Calibri" w:hAnsi="Times New Roman" w:cs="Times New Roman"/>
                <w:color w:val="000000"/>
                <w:sz w:val="20"/>
                <w:szCs w:val="20"/>
              </w:rPr>
              <w:t>Number of pages:</w:t>
            </w:r>
          </w:p>
        </w:tc>
        <w:tc>
          <w:tcPr>
            <w:tcW w:w="5465" w:type="dxa"/>
            <w:tcBorders>
              <w:top w:val="nil"/>
              <w:left w:val="nil"/>
            </w:tcBorders>
            <w:vAlign w:val="center"/>
          </w:tcPr>
          <w:p w:rsidR="008E3688" w:rsidRPr="008E3688" w:rsidRDefault="008E3688" w:rsidP="008E3688">
            <w:pPr>
              <w:widowControl w:val="0"/>
              <w:spacing w:after="0" w:line="240" w:lineRule="auto"/>
              <w:rPr>
                <w:rFonts w:ascii="Times New Roman" w:eastAsia="Calibri" w:hAnsi="Times New Roman" w:cs="Times New Roman"/>
                <w:b/>
                <w:bCs/>
                <w:color w:val="000000"/>
                <w:sz w:val="18"/>
                <w:szCs w:val="18"/>
                <w:rtl/>
              </w:rPr>
            </w:pPr>
            <w:r w:rsidRPr="008E3688">
              <w:rPr>
                <w:rFonts w:ascii="Times New Roman" w:eastAsia="Calibri" w:hAnsi="Times New Roman" w:cs="Times New Roman"/>
                <w:b/>
                <w:bCs/>
                <w:color w:val="000000"/>
                <w:sz w:val="18"/>
                <w:szCs w:val="18"/>
              </w:rPr>
              <w:t>106</w:t>
            </w:r>
          </w:p>
        </w:tc>
      </w:tr>
      <w:tr w:rsidR="008E3688" w:rsidRPr="008E3688" w:rsidTr="00715606">
        <w:trPr>
          <w:trHeight w:val="1268"/>
          <w:jc w:val="center"/>
        </w:trPr>
        <w:tc>
          <w:tcPr>
            <w:tcW w:w="7133" w:type="dxa"/>
            <w:gridSpan w:val="2"/>
          </w:tcPr>
          <w:p w:rsidR="008E3688" w:rsidRPr="008E3688" w:rsidRDefault="008E3688" w:rsidP="008E3688">
            <w:pPr>
              <w:widowControl w:val="0"/>
              <w:spacing w:before="100" w:after="0" w:line="240" w:lineRule="auto"/>
              <w:jc w:val="both"/>
              <w:rPr>
                <w:rFonts w:ascii="Times New Roman" w:eastAsia="Calibri" w:hAnsi="Times New Roman" w:cs="Times New Roman"/>
                <w:color w:val="000000"/>
                <w:sz w:val="20"/>
                <w:szCs w:val="20"/>
                <w:lang w:bidi="fa-IR"/>
              </w:rPr>
            </w:pPr>
            <w:sdt>
              <w:sdtPr>
                <w:rPr>
                  <w:rFonts w:ascii="Times New Roman" w:eastAsia="Calibri" w:hAnsi="Times New Roman" w:cs="Times New Roman"/>
                  <w:b/>
                  <w:bCs/>
                  <w:color w:val="000000"/>
                  <w:sz w:val="20"/>
                  <w:szCs w:val="20"/>
                </w:rPr>
                <w:alias w:val="Abstract"/>
                <w:tag w:val="Abstract"/>
                <w:id w:val="2018029222"/>
                <w:lock w:val="contentLocked"/>
              </w:sdtPr>
              <w:sdtEndPr>
                <w:rPr>
                  <w:b w:val="0"/>
                  <w:bCs w:val="0"/>
                </w:rPr>
              </w:sdtEndPr>
              <w:sdtContent>
                <w:r w:rsidRPr="008E3688">
                  <w:rPr>
                    <w:rFonts w:ascii="Times New Roman" w:eastAsia="Calibri" w:hAnsi="Times New Roman" w:cs="Times New Roman"/>
                    <w:b/>
                    <w:bCs/>
                    <w:color w:val="000000"/>
                    <w:sz w:val="20"/>
                    <w:szCs w:val="20"/>
                  </w:rPr>
                  <w:t>Abstract</w:t>
                </w:r>
              </w:sdtContent>
            </w:sdt>
          </w:p>
          <w:p w:rsidR="008E3688" w:rsidRPr="008E3688" w:rsidRDefault="008E3688" w:rsidP="008E3688">
            <w:pPr>
              <w:widowControl w:val="0"/>
              <w:spacing w:after="0" w:line="240" w:lineRule="auto"/>
              <w:jc w:val="both"/>
              <w:rPr>
                <w:rFonts w:ascii="Times New Roman" w:eastAsia="Calibri" w:hAnsi="Times New Roman" w:cs="B Nazanin"/>
                <w:b/>
                <w:bCs/>
                <w:color w:val="000000"/>
                <w:rtl/>
                <w:lang w:bidi="fa-IR"/>
              </w:rPr>
            </w:pPr>
            <w:sdt>
              <w:sdtPr>
                <w:rPr>
                  <w:rFonts w:ascii="Times New Roman" w:eastAsia="Calibri" w:hAnsi="Times New Roman" w:cs="B Nazanin"/>
                  <w:b/>
                  <w:bCs/>
                  <w:color w:val="000000"/>
                  <w:sz w:val="18"/>
                  <w:szCs w:val="18"/>
                  <w:lang w:bidi="fa-IR"/>
                </w:rPr>
                <w:alias w:val="Purpose"/>
                <w:tag w:val="Purpose"/>
                <w:id w:val="-568111694"/>
              </w:sdtPr>
              <w:sdtEndPr>
                <w:rPr>
                  <w:sz w:val="22"/>
                  <w:szCs w:val="22"/>
                </w:rPr>
              </w:sdtEndPr>
              <w:sdtContent>
                <w:r w:rsidRPr="008E3688">
                  <w:rPr>
                    <w:rFonts w:ascii="Times New Roman" w:eastAsia="Calibri" w:hAnsi="Times New Roman" w:cs="Calibri"/>
                    <w:b/>
                    <w:bCs/>
                    <w:color w:val="000000"/>
                    <w:sz w:val="18"/>
                    <w:szCs w:val="18"/>
                    <w:lang w:bidi="fa-IR"/>
                  </w:rPr>
                  <w:t xml:space="preserve">Research Aim: </w:t>
                </w:r>
              </w:sdtContent>
            </w:sdt>
            <w:r w:rsidRPr="008E3688">
              <w:rPr>
                <w:rFonts w:ascii="Times New Roman" w:eastAsia="Calibri" w:hAnsi="Times New Roman" w:cs="B Nazanin"/>
                <w:szCs w:val="24"/>
              </w:rPr>
              <w:t xml:space="preserve"> </w:t>
            </w:r>
            <w:r w:rsidRPr="008E3688">
              <w:rPr>
                <w:rFonts w:ascii="Times New Roman" w:eastAsia="Calibri" w:hAnsi="Times New Roman" w:cs="B Nazanin"/>
                <w:color w:val="000000"/>
                <w:lang w:bidi="fa-IR"/>
              </w:rPr>
              <w:t>The purpose of this study was to compare marital communication patterns, family function and marital adjustment in infertile and fertile women.</w:t>
            </w:r>
          </w:p>
          <w:p w:rsidR="008E3688" w:rsidRPr="008E3688" w:rsidRDefault="008E3688" w:rsidP="008E3688">
            <w:pPr>
              <w:widowControl w:val="0"/>
              <w:spacing w:after="0" w:line="240" w:lineRule="auto"/>
              <w:jc w:val="both"/>
              <w:rPr>
                <w:rFonts w:ascii="Times New Roman" w:eastAsia="Calibri" w:hAnsi="Times New Roman" w:cs="B Nazanin"/>
                <w:color w:val="000000"/>
                <w:rtl/>
                <w:lang w:bidi="fa-IR"/>
              </w:rPr>
            </w:pPr>
            <w:sdt>
              <w:sdtPr>
                <w:rPr>
                  <w:rFonts w:ascii="Times New Roman" w:eastAsia="Calibri" w:hAnsi="Times New Roman" w:cs="B Nazanin"/>
                  <w:b/>
                  <w:bCs/>
                  <w:color w:val="000000"/>
                  <w:lang w:bidi="fa-IR"/>
                </w:rPr>
                <w:alias w:val="Research method"/>
                <w:tag w:val="Research method"/>
                <w:id w:val="-1860189295"/>
              </w:sdtPr>
              <w:sdtContent>
                <w:r w:rsidRPr="008E3688">
                  <w:rPr>
                    <w:rFonts w:ascii="Times New Roman" w:eastAsia="Calibri" w:hAnsi="Times New Roman" w:cs="B Nazanin"/>
                    <w:b/>
                    <w:bCs/>
                    <w:color w:val="000000"/>
                    <w:sz w:val="18"/>
                    <w:szCs w:val="18"/>
                    <w:lang w:bidi="fa-IR"/>
                  </w:rPr>
                  <w:t xml:space="preserve">Research method: </w:t>
                </w:r>
              </w:sdtContent>
            </w:sdt>
            <w:r w:rsidRPr="008E3688">
              <w:rPr>
                <w:rFonts w:ascii="Times New Roman" w:eastAsia="Calibri" w:hAnsi="Times New Roman" w:cs="B Nazanin"/>
                <w:szCs w:val="24"/>
              </w:rPr>
              <w:t xml:space="preserve"> </w:t>
            </w:r>
            <w:r w:rsidRPr="008E3688">
              <w:rPr>
                <w:rFonts w:ascii="Times New Roman" w:eastAsia="Calibri" w:hAnsi="Times New Roman" w:cs="B Nazanin"/>
                <w:color w:val="000000"/>
                <w:lang w:bidi="fa-IR"/>
              </w:rPr>
              <w:t>The research method was descriptive causal-comparative. The study population consisted of infertile and fertile women refered to infertility treatment hospitals in Shiraz (4 hospitals) in 1398. Among them, 200 peoples were selected by random cluster sampling. Three subjects (100 infertile and 100 fertile women) were selected as the sample and answered to Christensen and Salavie Couples questionnaire, Epstein, Baldwin and Bishop’s family assessment tool and Spanier’s Marital Adjustment questionnaire. Multivariate analysis of variance was used to analyze the data.</w:t>
            </w:r>
          </w:p>
          <w:p w:rsidR="008E3688" w:rsidRPr="008E3688" w:rsidRDefault="008E3688" w:rsidP="008E3688">
            <w:pPr>
              <w:widowControl w:val="0"/>
              <w:spacing w:after="0" w:line="240" w:lineRule="auto"/>
              <w:jc w:val="both"/>
              <w:rPr>
                <w:rFonts w:ascii="Times New Roman" w:eastAsia="Calibri" w:hAnsi="Times New Roman" w:cs="B Nazanin"/>
                <w:color w:val="000000"/>
                <w:szCs w:val="24"/>
                <w:rtl/>
              </w:rPr>
            </w:pPr>
            <w:sdt>
              <w:sdtPr>
                <w:rPr>
                  <w:rFonts w:ascii="Times New Roman" w:eastAsia="Calibri" w:hAnsi="Times New Roman" w:cs="B Nazanin" w:hint="cs"/>
                  <w:b/>
                  <w:bCs/>
                  <w:color w:val="000000"/>
                  <w:szCs w:val="24"/>
                </w:rPr>
                <w:alias w:val="Findings"/>
                <w:tag w:val="Findings"/>
                <w:id w:val="-1213185446"/>
              </w:sdtPr>
              <w:sdtEndPr>
                <w:rPr>
                  <w:b w:val="0"/>
                  <w:bCs w:val="0"/>
                </w:rPr>
              </w:sdtEndPr>
              <w:sdtContent>
                <w:r w:rsidRPr="008E3688">
                  <w:rPr>
                    <w:rFonts w:ascii="Times New Roman" w:eastAsia="Calibri" w:hAnsi="Times New Roman" w:cs="B Nazanin"/>
                    <w:b/>
                    <w:bCs/>
                    <w:color w:val="000000"/>
                    <w:sz w:val="18"/>
                    <w:szCs w:val="18"/>
                  </w:rPr>
                  <w:t xml:space="preserve">Findings: </w:t>
                </w:r>
              </w:sdtContent>
            </w:sdt>
            <w:r w:rsidRPr="008E3688">
              <w:rPr>
                <w:rFonts w:ascii="Times New Roman" w:eastAsia="Calibri" w:hAnsi="Times New Roman" w:cs="B Nazanin"/>
                <w:szCs w:val="24"/>
              </w:rPr>
              <w:t xml:space="preserve"> </w:t>
            </w:r>
            <w:r w:rsidRPr="008E3688">
              <w:rPr>
                <w:rFonts w:ascii="Times New Roman" w:eastAsia="Calibri" w:hAnsi="Times New Roman" w:cs="B Nazanin"/>
                <w:color w:val="000000"/>
                <w:szCs w:val="24"/>
              </w:rPr>
              <w:t>The findings showed that there was a significant difference between infertile and fertile women in terms of couple communication patterns, family functioning and marital adjustment. Compared to fertile women, mean scores of reciprocal constructive communication pattern, family functioning, and marital adjustment were significantly lower in infertile women.</w:t>
            </w:r>
          </w:p>
          <w:p w:rsidR="008E3688" w:rsidRPr="008E3688" w:rsidRDefault="008E3688" w:rsidP="008E3688">
            <w:pPr>
              <w:widowControl w:val="0"/>
              <w:spacing w:after="0" w:line="240" w:lineRule="auto"/>
              <w:jc w:val="both"/>
              <w:rPr>
                <w:rFonts w:ascii="Times New Roman" w:eastAsia="Calibri" w:hAnsi="Times New Roman" w:cs="B Nazanin"/>
                <w:color w:val="000000"/>
                <w:rtl/>
              </w:rPr>
            </w:pPr>
            <w:sdt>
              <w:sdtPr>
                <w:rPr>
                  <w:rFonts w:ascii="Times New Roman" w:eastAsia="Calibri" w:hAnsi="Times New Roman" w:cs="B Nazanin" w:hint="cs"/>
                  <w:b/>
                  <w:bCs/>
                  <w:color w:val="000000"/>
                </w:rPr>
                <w:alias w:val="Conclusion"/>
                <w:tag w:val="Conclusion"/>
                <w:id w:val="1525369714"/>
              </w:sdtPr>
              <w:sdtEndPr>
                <w:rPr>
                  <w:b w:val="0"/>
                  <w:bCs w:val="0"/>
                </w:rPr>
              </w:sdtEndPr>
              <w:sdtContent>
                <w:r w:rsidRPr="008E3688">
                  <w:rPr>
                    <w:rFonts w:ascii="Times New Roman" w:eastAsia="Calibri" w:hAnsi="Times New Roman" w:cs="B Nazanin"/>
                    <w:b/>
                    <w:bCs/>
                    <w:color w:val="000000"/>
                    <w:sz w:val="18"/>
                    <w:szCs w:val="18"/>
                  </w:rPr>
                  <w:t>Conclusion:</w:t>
                </w:r>
                <w:r w:rsidRPr="008E3688">
                  <w:rPr>
                    <w:rFonts w:ascii="Times New Roman" w:eastAsia="Calibri" w:hAnsi="Times New Roman" w:cs="B Nazanin"/>
                    <w:szCs w:val="24"/>
                  </w:rPr>
                  <w:t xml:space="preserve"> </w:t>
                </w:r>
                <w:r w:rsidRPr="008E3688">
                  <w:rPr>
                    <w:rFonts w:ascii="Times New Roman" w:eastAsia="Calibri" w:hAnsi="Times New Roman" w:cs="B Nazanin"/>
                    <w:color w:val="000000"/>
                  </w:rPr>
                  <w:t>It can be concluded that interactive constructive communication pattern, family functioning and marital adjustment are among the variables that needs to be attended and planned in infertile women for promotion.</w:t>
                </w:r>
                <w:r w:rsidRPr="008E3688">
                  <w:rPr>
                    <w:rFonts w:ascii="Times New Roman" w:eastAsia="Calibri" w:hAnsi="Times New Roman" w:cs="B Nazanin"/>
                    <w:b/>
                    <w:bCs/>
                    <w:color w:val="000000"/>
                    <w:sz w:val="18"/>
                    <w:szCs w:val="18"/>
                  </w:rPr>
                  <w:t xml:space="preserve"> </w:t>
                </w:r>
              </w:sdtContent>
            </w:sdt>
          </w:p>
          <w:p w:rsidR="008E3688" w:rsidRPr="008E3688" w:rsidRDefault="008E3688" w:rsidP="008E3688">
            <w:pPr>
              <w:widowControl w:val="0"/>
              <w:spacing w:before="120" w:after="0" w:line="240" w:lineRule="auto"/>
              <w:jc w:val="both"/>
              <w:outlineLvl w:val="0"/>
              <w:rPr>
                <w:rFonts w:ascii="Times New Roman" w:eastAsia="Calibri" w:hAnsi="Times New Roman" w:cs="Times New Roman"/>
                <w:color w:val="000000"/>
                <w:sz w:val="20"/>
                <w:szCs w:val="20"/>
              </w:rPr>
            </w:pPr>
            <w:sdt>
              <w:sdtPr>
                <w:rPr>
                  <w:rFonts w:ascii="Times New Roman" w:eastAsia="Calibri" w:hAnsi="Times New Roman" w:cs="Times New Roman"/>
                  <w:b/>
                  <w:bCs/>
                  <w:color w:val="000000"/>
                  <w:sz w:val="20"/>
                  <w:szCs w:val="20"/>
                </w:rPr>
                <w:alias w:val="Keywords"/>
                <w:tag w:val="Keywords"/>
                <w:id w:val="525755604"/>
                <w:lock w:val="contentLocked"/>
              </w:sdtPr>
              <w:sdtEndPr>
                <w:rPr>
                  <w:b w:val="0"/>
                  <w:bCs w:val="0"/>
                </w:rPr>
              </w:sdtEndPr>
              <w:sdtContent>
                <w:r w:rsidRPr="008E3688">
                  <w:rPr>
                    <w:rFonts w:ascii="Times New Roman" w:eastAsia="Calibri" w:hAnsi="Times New Roman" w:cs="Times New Roman"/>
                    <w:b/>
                    <w:bCs/>
                    <w:color w:val="000000"/>
                    <w:sz w:val="20"/>
                    <w:szCs w:val="20"/>
                  </w:rPr>
                  <w:t xml:space="preserve">Keywords: </w:t>
                </w:r>
              </w:sdtContent>
            </w:sdt>
            <w:r w:rsidRPr="008E3688">
              <w:rPr>
                <w:rFonts w:ascii="Times New Roman" w:eastAsia="Calibri" w:hAnsi="Times New Roman" w:cs="Times New Roman"/>
                <w:color w:val="000000"/>
                <w:sz w:val="20"/>
                <w:szCs w:val="20"/>
              </w:rPr>
              <w:t>Couples Communication Patterns, Family Function, Marital Adjustment, Infertile Women, Fertile Women.</w:t>
            </w:r>
          </w:p>
          <w:p w:rsidR="008E3688" w:rsidRPr="008E3688" w:rsidRDefault="008E3688" w:rsidP="008E3688">
            <w:pPr>
              <w:widowControl w:val="0"/>
              <w:spacing w:before="120" w:after="0" w:line="240" w:lineRule="auto"/>
              <w:jc w:val="both"/>
              <w:outlineLvl w:val="0"/>
              <w:rPr>
                <w:rFonts w:ascii="Times New Roman" w:eastAsia="Calibri" w:hAnsi="Times New Roman" w:cs="Times New Roman"/>
                <w:color w:val="000000"/>
                <w:sz w:val="20"/>
                <w:szCs w:val="20"/>
                <w:rtl/>
                <w:lang w:bidi="fa-IR"/>
              </w:rPr>
            </w:pPr>
          </w:p>
        </w:tc>
      </w:tr>
    </w:tbl>
    <w:p w:rsidR="008E3688" w:rsidRDefault="008E3688">
      <w:pPr>
        <w:rPr>
          <w:rFonts w:hint="cs"/>
          <w:rtl/>
          <w:lang w:bidi="fa-IR"/>
        </w:rPr>
      </w:pPr>
      <w:bookmarkStart w:id="0" w:name="_GoBack"/>
      <w:bookmarkEnd w:id="0"/>
    </w:p>
    <w:p w:rsidR="008E3688" w:rsidRDefault="008E3688"/>
    <w:p w:rsidR="008E3688" w:rsidRDefault="008E3688"/>
    <w:sectPr w:rsidR="008E3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88"/>
    <w:rsid w:val="000203D9"/>
    <w:rsid w:val="008E3688"/>
    <w:rsid w:val="00BA4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2019-09-08T08:01:00Z</dcterms:created>
  <dcterms:modified xsi:type="dcterms:W3CDTF">2019-09-08T08:02:00Z</dcterms:modified>
</cp:coreProperties>
</file>